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644" w:rsidRDefault="00D40644" w:rsidP="00D40644">
      <w:pPr>
        <w:rPr>
          <w:b/>
          <w:bCs/>
          <w:caps/>
          <w:sz w:val="28"/>
          <w:szCs w:val="28"/>
        </w:rPr>
      </w:pPr>
      <w:r w:rsidRPr="0095608C">
        <w:rPr>
          <w:b/>
          <w:bCs/>
          <w:sz w:val="24"/>
          <w:szCs w:val="24"/>
        </w:rPr>
        <w:t>INSTRUCTIONS:</w:t>
      </w:r>
      <w:r>
        <w:rPr>
          <w:sz w:val="24"/>
          <w:szCs w:val="24"/>
        </w:rPr>
        <w:t xml:space="preserve">  Agency staff should complete the appropriate check boxes</w:t>
      </w:r>
      <w:r>
        <w:rPr>
          <w:sz w:val="24"/>
          <w:szCs w:val="24"/>
        </w:rPr>
        <w:t xml:space="preserve"> and sign as agency staff member.  T</w:t>
      </w:r>
      <w:r>
        <w:rPr>
          <w:sz w:val="24"/>
          <w:szCs w:val="24"/>
        </w:rPr>
        <w:t>hen client</w:t>
      </w:r>
      <w:r>
        <w:rPr>
          <w:sz w:val="24"/>
          <w:szCs w:val="24"/>
        </w:rPr>
        <w:t xml:space="preserve"> should read the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acknowledgement</w:t>
      </w:r>
      <w:r>
        <w:rPr>
          <w:sz w:val="24"/>
          <w:szCs w:val="24"/>
        </w:rPr>
        <w:t xml:space="preserve"> statement</w:t>
      </w:r>
      <w:r>
        <w:rPr>
          <w:sz w:val="24"/>
          <w:szCs w:val="24"/>
        </w:rPr>
        <w:t xml:space="preserve"> and then sign form.  The client should be given a copy of the form and a copy should be maintained in the client file </w:t>
      </w:r>
      <w:bookmarkStart w:id="0" w:name="_GoBack"/>
      <w:bookmarkEnd w:id="0"/>
      <w:r>
        <w:rPr>
          <w:sz w:val="24"/>
          <w:szCs w:val="24"/>
        </w:rPr>
        <w:t>as proof of delivery to the client.</w:t>
      </w:r>
    </w:p>
    <w:p w:rsidR="00D40644" w:rsidRDefault="00D40644" w:rsidP="004C4312">
      <w:pPr>
        <w:jc w:val="center"/>
        <w:rPr>
          <w:b/>
          <w:bCs/>
          <w:caps/>
          <w:sz w:val="28"/>
          <w:szCs w:val="28"/>
        </w:rPr>
      </w:pPr>
    </w:p>
    <w:p w:rsidR="00490DE7" w:rsidRDefault="00D40644" w:rsidP="004C4312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N</w:t>
      </w:r>
      <w:r w:rsidR="004C4312">
        <w:rPr>
          <w:b/>
          <w:bCs/>
          <w:caps/>
          <w:sz w:val="28"/>
          <w:szCs w:val="28"/>
        </w:rPr>
        <w:t xml:space="preserve">OTICE of Temporary suspension of </w:t>
      </w:r>
      <w:r w:rsidR="009E40D2" w:rsidRPr="00490DE7">
        <w:rPr>
          <w:b/>
          <w:bCs/>
          <w:caps/>
          <w:sz w:val="28"/>
          <w:szCs w:val="28"/>
        </w:rPr>
        <w:t>Housing Quality Standard (HQS) Inspections until December 31, 2020</w:t>
      </w:r>
    </w:p>
    <w:p w:rsidR="004C4312" w:rsidRPr="0095608C" w:rsidRDefault="004C4312" w:rsidP="004C4312">
      <w:pPr>
        <w:jc w:val="center"/>
        <w:rPr>
          <w:b/>
          <w:bCs/>
          <w:caps/>
          <w:sz w:val="32"/>
          <w:szCs w:val="32"/>
        </w:rPr>
      </w:pPr>
    </w:p>
    <w:p w:rsidR="0095608C" w:rsidRPr="0095608C" w:rsidRDefault="0095608C" w:rsidP="004C4312">
      <w:pPr>
        <w:jc w:val="center"/>
        <w:rPr>
          <w:b/>
          <w:bCs/>
          <w:caps/>
          <w:sz w:val="32"/>
          <w:szCs w:val="32"/>
        </w:rPr>
      </w:pPr>
      <w:r w:rsidRPr="0095608C">
        <w:rPr>
          <w:b/>
          <w:bCs/>
          <w:sz w:val="28"/>
          <w:szCs w:val="28"/>
        </w:rPr>
        <w:t xml:space="preserve">**** </w:t>
      </w:r>
      <w:r w:rsidRPr="0095608C">
        <w:rPr>
          <w:b/>
          <w:bCs/>
          <w:sz w:val="28"/>
          <w:szCs w:val="28"/>
        </w:rPr>
        <w:t xml:space="preserve">THIS FORM IS REQUIRED TO BE GIVEN TO ALL HOME TBRA </w:t>
      </w:r>
      <w:r w:rsidRPr="0095608C">
        <w:rPr>
          <w:b/>
          <w:bCs/>
          <w:sz w:val="28"/>
          <w:szCs w:val="28"/>
        </w:rPr>
        <w:t>CLIENTS ****</w:t>
      </w:r>
    </w:p>
    <w:p w:rsidR="0095608C" w:rsidRDefault="0095608C" w:rsidP="0095608C">
      <w:pPr>
        <w:rPr>
          <w:sz w:val="24"/>
          <w:szCs w:val="24"/>
        </w:rPr>
      </w:pPr>
    </w:p>
    <w:p w:rsidR="004C4312" w:rsidRDefault="004C4312" w:rsidP="004C4312">
      <w:pPr>
        <w:rPr>
          <w:sz w:val="24"/>
          <w:szCs w:val="24"/>
        </w:rPr>
      </w:pPr>
      <w:r>
        <w:rPr>
          <w:sz w:val="24"/>
          <w:szCs w:val="24"/>
        </w:rPr>
        <w:t xml:space="preserve">To protect the health of </w:t>
      </w:r>
      <w:r w:rsidR="0095608C">
        <w:rPr>
          <w:sz w:val="24"/>
          <w:szCs w:val="24"/>
        </w:rPr>
        <w:t>tenants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agency staff</w:t>
      </w:r>
      <w:r>
        <w:rPr>
          <w:sz w:val="24"/>
          <w:szCs w:val="24"/>
        </w:rPr>
        <w:t>, and landlords</w:t>
      </w:r>
      <w:r>
        <w:rPr>
          <w:sz w:val="24"/>
          <w:szCs w:val="24"/>
        </w:rPr>
        <w:t xml:space="preserve"> during the COVID-19 national crisis</w:t>
      </w:r>
      <w:r>
        <w:rPr>
          <w:sz w:val="24"/>
          <w:szCs w:val="24"/>
        </w:rPr>
        <w:t xml:space="preserve">, </w:t>
      </w:r>
      <w:r w:rsidR="0095608C">
        <w:rPr>
          <w:sz w:val="24"/>
          <w:szCs w:val="24"/>
        </w:rPr>
        <w:t xml:space="preserve">The </w:t>
      </w:r>
      <w:r>
        <w:rPr>
          <w:sz w:val="24"/>
          <w:szCs w:val="24"/>
        </w:rPr>
        <w:t>HQS inspections</w:t>
      </w:r>
      <w:r w:rsidR="0095608C">
        <w:rPr>
          <w:sz w:val="24"/>
          <w:szCs w:val="24"/>
        </w:rPr>
        <w:t xml:space="preserve"> identified below </w:t>
      </w:r>
      <w:r>
        <w:rPr>
          <w:sz w:val="24"/>
          <w:szCs w:val="24"/>
        </w:rPr>
        <w:t xml:space="preserve">have been temporarily suspended until December 31, 2020. </w:t>
      </w:r>
    </w:p>
    <w:p w:rsidR="0095608C" w:rsidRDefault="0095608C" w:rsidP="004C4312">
      <w:pPr>
        <w:rPr>
          <w:sz w:val="24"/>
          <w:szCs w:val="24"/>
        </w:rPr>
      </w:pPr>
    </w:p>
    <w:p w:rsidR="0095608C" w:rsidRDefault="00F03565" w:rsidP="00490DE7">
      <w:pPr>
        <w:spacing w:line="240" w:lineRule="auto"/>
        <w:rPr>
          <w:sz w:val="24"/>
          <w:szCs w:val="24"/>
        </w:rPr>
      </w:pPr>
      <w:sdt>
        <w:sdtPr>
          <w:rPr>
            <w:sz w:val="48"/>
            <w:szCs w:val="48"/>
          </w:rPr>
          <w:id w:val="-363979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08C">
            <w:rPr>
              <w:rFonts w:ascii="MS Gothic" w:eastAsia="MS Gothic" w:hAnsi="MS Gothic" w:hint="eastAsia"/>
              <w:sz w:val="48"/>
              <w:szCs w:val="48"/>
            </w:rPr>
            <w:t>☐</w:t>
          </w:r>
        </w:sdtContent>
      </w:sdt>
      <w:r>
        <w:rPr>
          <w:sz w:val="24"/>
          <w:szCs w:val="24"/>
        </w:rPr>
        <w:t xml:space="preserve">   </w:t>
      </w:r>
      <w:r w:rsidRPr="00C665FA">
        <w:rPr>
          <w:b/>
          <w:bCs/>
          <w:sz w:val="24"/>
          <w:szCs w:val="24"/>
        </w:rPr>
        <w:t>I</w:t>
      </w:r>
      <w:r w:rsidR="004C4312" w:rsidRPr="00C665FA">
        <w:rPr>
          <w:b/>
          <w:bCs/>
          <w:sz w:val="24"/>
          <w:szCs w:val="24"/>
        </w:rPr>
        <w:t>NITIAL (MOVE-IN) INSPECTION</w:t>
      </w:r>
      <w:r w:rsidR="004C4312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The initial </w:t>
      </w:r>
      <w:r w:rsidR="004C4312">
        <w:rPr>
          <w:sz w:val="24"/>
          <w:szCs w:val="24"/>
        </w:rPr>
        <w:t>inspection</w:t>
      </w:r>
      <w:r>
        <w:rPr>
          <w:sz w:val="24"/>
          <w:szCs w:val="24"/>
        </w:rPr>
        <w:t xml:space="preserve"> is</w:t>
      </w:r>
      <w:r w:rsidR="004C4312">
        <w:rPr>
          <w:sz w:val="24"/>
          <w:szCs w:val="24"/>
        </w:rPr>
        <w:t xml:space="preserve"> temporarily suspended</w:t>
      </w:r>
      <w:r>
        <w:rPr>
          <w:sz w:val="24"/>
          <w:szCs w:val="24"/>
        </w:rPr>
        <w:t xml:space="preserve"> and will be conducted between January 1, 2021 and April 30, 2021. </w:t>
      </w:r>
    </w:p>
    <w:p w:rsidR="0095608C" w:rsidRDefault="0095608C" w:rsidP="00490DE7">
      <w:pPr>
        <w:spacing w:line="240" w:lineRule="auto"/>
        <w:rPr>
          <w:sz w:val="24"/>
          <w:szCs w:val="24"/>
        </w:rPr>
      </w:pPr>
    </w:p>
    <w:p w:rsidR="0095608C" w:rsidRDefault="0095608C" w:rsidP="00490DE7">
      <w:pPr>
        <w:spacing w:line="240" w:lineRule="auto"/>
        <w:rPr>
          <w:sz w:val="24"/>
          <w:szCs w:val="24"/>
        </w:rPr>
      </w:pPr>
    </w:p>
    <w:p w:rsidR="0095608C" w:rsidRDefault="0095608C" w:rsidP="00490DE7">
      <w:pPr>
        <w:spacing w:line="240" w:lineRule="auto"/>
        <w:rPr>
          <w:sz w:val="24"/>
          <w:szCs w:val="24"/>
        </w:rPr>
      </w:pPr>
      <w:sdt>
        <w:sdtPr>
          <w:rPr>
            <w:sz w:val="48"/>
            <w:szCs w:val="48"/>
          </w:rPr>
          <w:id w:val="1414208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8"/>
              <w:szCs w:val="48"/>
            </w:rPr>
            <w:t>☐</w:t>
          </w:r>
        </w:sdtContent>
      </w:sdt>
      <w:r w:rsidR="00F035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665FA">
        <w:rPr>
          <w:b/>
          <w:bCs/>
          <w:sz w:val="24"/>
          <w:szCs w:val="24"/>
        </w:rPr>
        <w:t>ANNUAL (RECERTIFICATION) RE-INSPECTION:</w:t>
      </w:r>
      <w:r>
        <w:rPr>
          <w:sz w:val="24"/>
          <w:szCs w:val="24"/>
        </w:rPr>
        <w:t xml:space="preserve">  The annual re-inspection is temporarily suspended and will be conducted between January 1, 2021 and April 30, 2021.</w:t>
      </w:r>
    </w:p>
    <w:p w:rsidR="0095608C" w:rsidRDefault="0095608C" w:rsidP="00490DE7">
      <w:pPr>
        <w:spacing w:line="240" w:lineRule="auto"/>
        <w:rPr>
          <w:sz w:val="24"/>
          <w:szCs w:val="24"/>
        </w:rPr>
      </w:pPr>
    </w:p>
    <w:p w:rsidR="0095608C" w:rsidRDefault="0095608C" w:rsidP="00490DE7">
      <w:pPr>
        <w:spacing w:line="240" w:lineRule="auto"/>
        <w:rPr>
          <w:sz w:val="24"/>
          <w:szCs w:val="24"/>
        </w:rPr>
      </w:pPr>
    </w:p>
    <w:p w:rsidR="00D40644" w:rsidRDefault="00D40644" w:rsidP="00490D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ACKNOWLEDGMENT STATEMENT:</w:t>
      </w:r>
    </w:p>
    <w:p w:rsidR="00490DE7" w:rsidRDefault="00F03565" w:rsidP="00490D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5608C">
        <w:rPr>
          <w:sz w:val="24"/>
          <w:szCs w:val="24"/>
        </w:rPr>
        <w:t xml:space="preserve">temporary </w:t>
      </w:r>
      <w:r>
        <w:rPr>
          <w:sz w:val="24"/>
          <w:szCs w:val="24"/>
        </w:rPr>
        <w:t>suspension</w:t>
      </w:r>
      <w:r w:rsidR="00C665FA">
        <w:rPr>
          <w:sz w:val="24"/>
          <w:szCs w:val="24"/>
        </w:rPr>
        <w:t xml:space="preserve"> of the above inspection</w:t>
      </w:r>
      <w:r w:rsidR="004C4312">
        <w:rPr>
          <w:sz w:val="24"/>
          <w:szCs w:val="24"/>
        </w:rPr>
        <w:t xml:space="preserve"> does not remove the </w:t>
      </w:r>
      <w:r w:rsidR="0095608C">
        <w:rPr>
          <w:sz w:val="24"/>
          <w:szCs w:val="24"/>
        </w:rPr>
        <w:t>landlord’s</w:t>
      </w:r>
      <w:r w:rsidR="004C4312">
        <w:rPr>
          <w:sz w:val="24"/>
          <w:szCs w:val="24"/>
        </w:rPr>
        <w:t xml:space="preserve"> responsibility </w:t>
      </w:r>
      <w:r>
        <w:rPr>
          <w:sz w:val="24"/>
          <w:szCs w:val="24"/>
        </w:rPr>
        <w:t>to</w:t>
      </w:r>
      <w:r w:rsidR="004C4312">
        <w:rPr>
          <w:sz w:val="24"/>
          <w:szCs w:val="24"/>
        </w:rPr>
        <w:t xml:space="preserve"> maintain the unit </w:t>
      </w:r>
      <w:r>
        <w:rPr>
          <w:sz w:val="24"/>
          <w:szCs w:val="24"/>
        </w:rPr>
        <w:t xml:space="preserve">per </w:t>
      </w:r>
      <w:r w:rsidR="004C4312">
        <w:rPr>
          <w:sz w:val="24"/>
          <w:szCs w:val="24"/>
        </w:rPr>
        <w:t>HQS standards.</w:t>
      </w:r>
      <w:r>
        <w:rPr>
          <w:sz w:val="24"/>
          <w:szCs w:val="24"/>
        </w:rPr>
        <w:t xml:space="preserve"> Tenants </w:t>
      </w:r>
      <w:r w:rsidR="0095608C">
        <w:rPr>
          <w:sz w:val="24"/>
          <w:szCs w:val="24"/>
        </w:rPr>
        <w:t xml:space="preserve">should communicate and coordinate with landlords when repairs are needed.  </w:t>
      </w:r>
      <w:r w:rsidR="00C665FA">
        <w:rPr>
          <w:sz w:val="24"/>
          <w:szCs w:val="24"/>
        </w:rPr>
        <w:t xml:space="preserve">The tenant has the right to contact this agency if property conditions are believed to not meet HQS and the landlord has not successfully completed necessary repairs. </w:t>
      </w:r>
    </w:p>
    <w:p w:rsidR="00C665FA" w:rsidRDefault="00C665FA" w:rsidP="00490DE7">
      <w:pPr>
        <w:spacing w:line="240" w:lineRule="auto"/>
        <w:rPr>
          <w:sz w:val="24"/>
          <w:szCs w:val="24"/>
        </w:rPr>
      </w:pPr>
    </w:p>
    <w:p w:rsidR="00C665FA" w:rsidRDefault="00C665FA" w:rsidP="00490DE7">
      <w:pPr>
        <w:spacing w:line="240" w:lineRule="auto"/>
        <w:rPr>
          <w:sz w:val="24"/>
          <w:szCs w:val="24"/>
        </w:rPr>
      </w:pPr>
    </w:p>
    <w:p w:rsidR="00C665FA" w:rsidRDefault="00C665FA" w:rsidP="00490D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C665FA" w:rsidRDefault="00C665FA" w:rsidP="00490D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Tenant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C665FA" w:rsidRDefault="00C665FA" w:rsidP="00490DE7">
      <w:pPr>
        <w:spacing w:line="240" w:lineRule="auto"/>
        <w:rPr>
          <w:sz w:val="24"/>
          <w:szCs w:val="24"/>
        </w:rPr>
      </w:pPr>
    </w:p>
    <w:p w:rsidR="00C665FA" w:rsidRDefault="00C665FA" w:rsidP="00490D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490DE7" w:rsidRPr="009E40D2" w:rsidRDefault="00C665FA" w:rsidP="00490D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Agency Staff </w:t>
      </w:r>
      <w:r w:rsidR="00D40644">
        <w:rPr>
          <w:sz w:val="24"/>
          <w:szCs w:val="24"/>
        </w:rPr>
        <w:t xml:space="preserve">Member </w:t>
      </w: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490DE7" w:rsidRPr="009E40D2" w:rsidSect="00D4064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080" w:right="1440" w:bottom="36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82D" w:rsidRDefault="00C3482D" w:rsidP="00C7299C">
      <w:pPr>
        <w:spacing w:line="240" w:lineRule="auto"/>
      </w:pPr>
      <w:r>
        <w:separator/>
      </w:r>
    </w:p>
  </w:endnote>
  <w:endnote w:type="continuationSeparator" w:id="0">
    <w:p w:rsidR="00C3482D" w:rsidRDefault="00C3482D" w:rsidP="00C72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644" w:rsidRPr="0021796F" w:rsidRDefault="00D40644" w:rsidP="00D40644">
    <w:pPr>
      <w:pStyle w:val="Footer"/>
      <w:pBdr>
        <w:top w:val="thinThickSmallGap" w:sz="24" w:space="1" w:color="622423" w:themeColor="accent2" w:themeShade="7F"/>
      </w:pBdr>
      <w:jc w:val="both"/>
      <w:rPr>
        <w:rFonts w:ascii="Arial" w:eastAsia="Times New Roman" w:hAnsi="Arial" w:cs="Arial"/>
        <w:b/>
        <w:sz w:val="20"/>
        <w:szCs w:val="20"/>
      </w:rPr>
    </w:pPr>
    <w:r w:rsidRPr="00A87B5D">
      <w:rPr>
        <w:rFonts w:ascii="Arial" w:eastAsiaTheme="majorEastAsia" w:hAnsi="Arial" w:cs="Arial"/>
        <w:b/>
        <w:sz w:val="20"/>
        <w:szCs w:val="20"/>
      </w:rPr>
      <w:t xml:space="preserve">WARNING:  It is unlawful to provide false information to the government when applying for federal public benefit programs per Section 1001 of Title 18 of the United States Code.  </w:t>
    </w:r>
    <w:r w:rsidRPr="0021796F">
      <w:rPr>
        <w:rFonts w:ascii="Arial" w:eastAsia="Times New Roman" w:hAnsi="Arial" w:cs="Arial"/>
        <w:b/>
        <w:sz w:val="20"/>
        <w:szCs w:val="20"/>
      </w:rPr>
      <w:tab/>
    </w:r>
    <w:r w:rsidRPr="0021796F">
      <w:rPr>
        <w:rFonts w:ascii="Arial" w:eastAsia="Times New Roman" w:hAnsi="Arial" w:cs="Arial"/>
        <w:b/>
        <w:sz w:val="20"/>
        <w:szCs w:val="20"/>
      </w:rPr>
      <w:tab/>
    </w:r>
  </w:p>
  <w:p w:rsidR="00D40644" w:rsidRDefault="00D40644" w:rsidP="00D40644">
    <w:pPr>
      <w:pStyle w:val="Footer"/>
      <w:pBdr>
        <w:top w:val="thinThickSmallGap" w:sz="24" w:space="1" w:color="622423" w:themeColor="accent2" w:themeShade="7F"/>
      </w:pBdr>
      <w:jc w:val="both"/>
      <w:rPr>
        <w:rFonts w:ascii="Arial" w:eastAsia="Times New Roman" w:hAnsi="Arial" w:cs="Arial"/>
        <w:b/>
      </w:rPr>
    </w:pPr>
    <w:r>
      <w:rPr>
        <w:rFonts w:ascii="Arial" w:eastAsia="Times New Roman" w:hAnsi="Arial" w:cs="Arial"/>
        <w:b/>
      </w:rPr>
      <w:tab/>
    </w:r>
    <w:r>
      <w:rPr>
        <w:rFonts w:ascii="Arial" w:eastAsia="Times New Roman" w:hAnsi="Arial" w:cs="Arial"/>
        <w:b/>
      </w:rPr>
      <w:tab/>
    </w:r>
  </w:p>
  <w:p w:rsidR="00D40644" w:rsidRDefault="00D40644" w:rsidP="00D40644">
    <w:pPr>
      <w:pStyle w:val="Footer"/>
      <w:pBdr>
        <w:top w:val="thinThickSmallGap" w:sz="24" w:space="1" w:color="622423" w:themeColor="accent2" w:themeShade="7F"/>
      </w:pBdr>
      <w:jc w:val="right"/>
      <w:rPr>
        <w:rFonts w:ascii="Arial" w:eastAsia="Times New Roman" w:hAnsi="Arial" w:cs="Arial"/>
        <w:sz w:val="18"/>
        <w:szCs w:val="18"/>
      </w:rPr>
    </w:pPr>
    <w:r w:rsidRPr="00063967">
      <w:rPr>
        <w:rFonts w:ascii="Arial" w:eastAsia="Times New Roman" w:hAnsi="Arial" w:cs="Arial"/>
        <w:sz w:val="18"/>
        <w:szCs w:val="18"/>
      </w:rPr>
      <w:t>KHC</w:t>
    </w:r>
    <w:r>
      <w:rPr>
        <w:rFonts w:ascii="Arial" w:eastAsia="Times New Roman" w:hAnsi="Arial" w:cs="Arial"/>
        <w:sz w:val="18"/>
        <w:szCs w:val="18"/>
      </w:rPr>
      <w:t xml:space="preserve"> </w:t>
    </w:r>
    <w:r w:rsidR="00ED3537">
      <w:rPr>
        <w:rFonts w:ascii="Arial" w:eastAsia="Times New Roman" w:hAnsi="Arial" w:cs="Arial"/>
        <w:sz w:val="18"/>
        <w:szCs w:val="18"/>
      </w:rPr>
      <w:t>CVD19</w:t>
    </w:r>
    <w:r>
      <w:rPr>
        <w:rFonts w:ascii="Arial" w:eastAsia="Times New Roman" w:hAnsi="Arial" w:cs="Arial"/>
        <w:sz w:val="18"/>
        <w:szCs w:val="18"/>
      </w:rPr>
      <w:t xml:space="preserve"> HCA-</w:t>
    </w:r>
    <w:r w:rsidR="000400F0">
      <w:rPr>
        <w:rFonts w:ascii="Arial" w:eastAsia="Times New Roman" w:hAnsi="Arial" w:cs="Arial"/>
        <w:sz w:val="18"/>
        <w:szCs w:val="18"/>
      </w:rPr>
      <w:t>220</w:t>
    </w:r>
    <w:r w:rsidRPr="00063967">
      <w:rPr>
        <w:rFonts w:ascii="Arial" w:eastAsia="Times New Roman" w:hAnsi="Arial" w:cs="Arial"/>
        <w:sz w:val="18"/>
        <w:szCs w:val="18"/>
      </w:rPr>
      <w:t xml:space="preserve"> (Rev. </w:t>
    </w:r>
    <w:r w:rsidR="000400F0">
      <w:rPr>
        <w:rFonts w:ascii="Arial" w:eastAsia="Times New Roman" w:hAnsi="Arial" w:cs="Arial"/>
        <w:sz w:val="18"/>
        <w:szCs w:val="18"/>
      </w:rPr>
      <w:t>5/2020</w:t>
    </w:r>
    <w:r w:rsidRPr="00063967">
      <w:rPr>
        <w:rFonts w:ascii="Arial" w:eastAsia="Times New Roman" w:hAnsi="Arial" w:cs="Arial"/>
        <w:sz w:val="18"/>
        <w:szCs w:val="18"/>
      </w:rPr>
      <w:t>)</w:t>
    </w:r>
    <w:r>
      <w:rPr>
        <w:rFonts w:ascii="Arial" w:eastAsia="Times New Roman" w:hAnsi="Arial" w:cs="Arial"/>
        <w:sz w:val="18"/>
        <w:szCs w:val="18"/>
      </w:rPr>
      <w:t xml:space="preserve">      </w:t>
    </w:r>
  </w:p>
  <w:p w:rsidR="00D40644" w:rsidRPr="0021796F" w:rsidRDefault="00D40644" w:rsidP="00D40644">
    <w:pPr>
      <w:pStyle w:val="Footer"/>
      <w:pBdr>
        <w:top w:val="thinThickSmallGap" w:sz="24" w:space="1" w:color="622423" w:themeColor="accent2" w:themeShade="7F"/>
      </w:pBdr>
      <w:jc w:val="right"/>
      <w:rPr>
        <w:sz w:val="18"/>
        <w:szCs w:val="18"/>
      </w:rPr>
    </w:pPr>
    <w:r w:rsidRPr="00063967">
      <w:rPr>
        <w:rFonts w:ascii="Arial" w:eastAsia="Times New Roman" w:hAnsi="Arial" w:cs="Arial"/>
        <w:noProof/>
        <w:sz w:val="18"/>
        <w:szCs w:val="18"/>
        <w:vertAlign w:val="subscript"/>
      </w:rPr>
      <w:drawing>
        <wp:inline distT="0" distB="0" distL="0" distR="0" wp14:anchorId="07992B80" wp14:editId="1A267D75">
          <wp:extent cx="419100" cy="42862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r housin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82D" w:rsidRDefault="00C3482D" w:rsidP="00C7299C">
      <w:pPr>
        <w:spacing w:line="240" w:lineRule="auto"/>
      </w:pPr>
      <w:r>
        <w:separator/>
      </w:r>
    </w:p>
  </w:footnote>
  <w:footnote w:type="continuationSeparator" w:id="0">
    <w:p w:rsidR="00C3482D" w:rsidRDefault="00C3482D" w:rsidP="00C729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99C" w:rsidRDefault="00B51D5E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0" allowOverlap="1" wp14:anchorId="1A68C20F" wp14:editId="3FE987C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3" name="Picture 3" descr="letterhead 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99C" w:rsidRDefault="00C665F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>
              <wp:simplePos x="0" y="0"/>
              <wp:positionH relativeFrom="column">
                <wp:posOffset>-249555</wp:posOffset>
              </wp:positionH>
              <wp:positionV relativeFrom="paragraph">
                <wp:posOffset>-77470</wp:posOffset>
              </wp:positionV>
              <wp:extent cx="6524625" cy="29591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65FA" w:rsidRPr="00C665FA" w:rsidRDefault="00C665FA" w:rsidP="00C665FA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665FA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CLIENT ACKNOWLEDGEMENT OF TEMPORARY SUSPENSION OF HQS INSPECTIONS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9.65pt;margin-top:-6.1pt;width:513.75pt;height:23.3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" filled="f" stroked="f">
              <v:textbox>
                <w:txbxContent>
                  <w:p w:rsidR="00C665FA" w:rsidRPr="00C665FA" w:rsidRDefault="00C665FA" w:rsidP="00C665FA">
                    <w:pPr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C665FA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CLIENT ACKNOWLEDGEMENT OF TEMPORARY SUSPENSION OF HQS INSPECTIONS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285750</wp:posOffset>
              </wp:positionV>
              <wp:extent cx="6276975" cy="19050"/>
              <wp:effectExtent l="38100" t="38100" r="85725" b="1143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19050"/>
                      </a:xfrm>
                      <a:prstGeom prst="line">
                        <a:avLst/>
                      </a:prstGeom>
                      <a:ln w="57150">
                        <a:solidFill>
                          <a:srgbClr val="501D1C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5C1CE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2.5pt" to="482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" strokecolor="#501d1c" strokeweight="4.5pt">
              <v:shadow on="t" color="black" opacity="22937f" origin=",.5" offset="0,.63889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99C" w:rsidRDefault="00C348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letterhead pi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3C"/>
    <w:rsid w:val="000400F0"/>
    <w:rsid w:val="000C0FF1"/>
    <w:rsid w:val="000D07D9"/>
    <w:rsid w:val="00120CB8"/>
    <w:rsid w:val="001B1BE4"/>
    <w:rsid w:val="0025739A"/>
    <w:rsid w:val="0027716B"/>
    <w:rsid w:val="002B2A35"/>
    <w:rsid w:val="002E67B7"/>
    <w:rsid w:val="003061A2"/>
    <w:rsid w:val="00490DE7"/>
    <w:rsid w:val="004C4312"/>
    <w:rsid w:val="005F5712"/>
    <w:rsid w:val="007A6AFA"/>
    <w:rsid w:val="007D7FB2"/>
    <w:rsid w:val="00934B18"/>
    <w:rsid w:val="0095608C"/>
    <w:rsid w:val="009D4849"/>
    <w:rsid w:val="009E40D2"/>
    <w:rsid w:val="00A3655C"/>
    <w:rsid w:val="00AA7757"/>
    <w:rsid w:val="00AC3DF8"/>
    <w:rsid w:val="00B4203D"/>
    <w:rsid w:val="00B51D5E"/>
    <w:rsid w:val="00B629B8"/>
    <w:rsid w:val="00BB74EA"/>
    <w:rsid w:val="00BF031F"/>
    <w:rsid w:val="00C22634"/>
    <w:rsid w:val="00C3482D"/>
    <w:rsid w:val="00C665FA"/>
    <w:rsid w:val="00C7299C"/>
    <w:rsid w:val="00CE0D18"/>
    <w:rsid w:val="00D07350"/>
    <w:rsid w:val="00D33C25"/>
    <w:rsid w:val="00D40644"/>
    <w:rsid w:val="00D6048B"/>
    <w:rsid w:val="00DC4F90"/>
    <w:rsid w:val="00E054E8"/>
    <w:rsid w:val="00E349C9"/>
    <w:rsid w:val="00E55939"/>
    <w:rsid w:val="00E55F34"/>
    <w:rsid w:val="00EA03EF"/>
    <w:rsid w:val="00ED3537"/>
    <w:rsid w:val="00EF2D3C"/>
    <w:rsid w:val="00F03565"/>
    <w:rsid w:val="00F5327B"/>
    <w:rsid w:val="00F65AC3"/>
    <w:rsid w:val="00F7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7B5802"/>
  <w15:docId w15:val="{11E3FB3C-C9B3-4353-9AFC-325735B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D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E054E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E054E8"/>
    <w:pPr>
      <w:widowControl w:val="0"/>
      <w:snapToGrid w:val="0"/>
      <w:spacing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054E8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729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99C"/>
  </w:style>
  <w:style w:type="paragraph" w:styleId="Footer">
    <w:name w:val="footer"/>
    <w:basedOn w:val="Normal"/>
    <w:link w:val="FooterChar"/>
    <w:uiPriority w:val="99"/>
    <w:unhideWhenUsed/>
    <w:rsid w:val="00C729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99C"/>
  </w:style>
  <w:style w:type="paragraph" w:customStyle="1" w:styleId="KHC">
    <w:name w:val="KHC"/>
    <w:basedOn w:val="Normal"/>
    <w:qFormat/>
    <w:rsid w:val="009D4849"/>
    <w:pPr>
      <w:spacing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8C75-070C-425F-9A2F-F1291296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Housing Corporation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Charla Jackson Peter</dc:creator>
  <cp:lastModifiedBy>Kathy Lykins</cp:lastModifiedBy>
  <cp:revision>3</cp:revision>
  <dcterms:created xsi:type="dcterms:W3CDTF">2020-05-04T20:08:00Z</dcterms:created>
  <dcterms:modified xsi:type="dcterms:W3CDTF">2020-05-04T20:10:00Z</dcterms:modified>
</cp:coreProperties>
</file>