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jc w:val="center"/>
        <w:rPr>
          <w:b/>
          <w:sz w:val="32"/>
          <w:szCs w:val="32"/>
        </w:rPr>
      </w:pPr>
    </w:p>
    <w:p w:rsidR="00A16FDB" w:rsidRPr="00A16FDB" w:rsidRDefault="00A16FDB" w:rsidP="00A16FDB">
      <w:pPr>
        <w:jc w:val="center"/>
        <w:rPr>
          <w:b/>
          <w:sz w:val="32"/>
          <w:szCs w:val="32"/>
        </w:rPr>
      </w:pPr>
      <w:r w:rsidRPr="00A16FDB">
        <w:rPr>
          <w:b/>
          <w:sz w:val="32"/>
          <w:szCs w:val="32"/>
        </w:rPr>
        <w:t>HUD Homeless Definition</w:t>
      </w: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  <w:r>
        <w:rPr>
          <w:sz w:val="24"/>
          <w:szCs w:val="24"/>
        </w:rPr>
        <w:t>Home</w:t>
      </w:r>
      <w:r w:rsidRPr="00A16FDB">
        <w:rPr>
          <w:sz w:val="24"/>
          <w:szCs w:val="24"/>
        </w:rPr>
        <w:t xml:space="preserve">less means: </w:t>
      </w: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Pr="00A16FDB" w:rsidRDefault="00A16FDB" w:rsidP="00A16FDB">
      <w:pPr>
        <w:rPr>
          <w:sz w:val="24"/>
          <w:szCs w:val="24"/>
          <w:u w:val="single"/>
        </w:rPr>
      </w:pPr>
      <w:r w:rsidRPr="00A16FDB">
        <w:rPr>
          <w:sz w:val="24"/>
          <w:szCs w:val="24"/>
          <w:u w:val="single"/>
        </w:rPr>
        <w:t>Category 1: Literally Homeless</w:t>
      </w:r>
    </w:p>
    <w:p w:rsidR="00A16FDB" w:rsidRDefault="00A16FDB" w:rsidP="00A16FDB">
      <w:pPr>
        <w:rPr>
          <w:sz w:val="24"/>
          <w:szCs w:val="24"/>
        </w:rPr>
      </w:pPr>
    </w:p>
    <w:p w:rsidR="00A16FDB" w:rsidRPr="00A16FDB" w:rsidRDefault="00A16FDB" w:rsidP="00A16FDB">
      <w:pPr>
        <w:rPr>
          <w:sz w:val="24"/>
          <w:szCs w:val="24"/>
        </w:rPr>
      </w:pPr>
      <w:r w:rsidRPr="00A16FDB">
        <w:rPr>
          <w:sz w:val="24"/>
          <w:szCs w:val="24"/>
        </w:rPr>
        <w:t xml:space="preserve">(1) An individual or family who lacks a fixed, regular, and adequate nighttime </w:t>
      </w:r>
      <w:r>
        <w:rPr>
          <w:sz w:val="24"/>
          <w:szCs w:val="24"/>
        </w:rPr>
        <w:t xml:space="preserve">residence, </w:t>
      </w:r>
      <w:r w:rsidRPr="00A16FDB">
        <w:rPr>
          <w:sz w:val="24"/>
          <w:szCs w:val="24"/>
        </w:rPr>
        <w:t xml:space="preserve">meaning: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</w:t>
      </w:r>
      <w:proofErr w:type="spellStart"/>
      <w:r w:rsidRPr="00A16FDB">
        <w:rPr>
          <w:sz w:val="24"/>
          <w:szCs w:val="24"/>
        </w:rPr>
        <w:t>i</w:t>
      </w:r>
      <w:proofErr w:type="spellEnd"/>
      <w:r w:rsidRPr="00A16FDB">
        <w:rPr>
          <w:sz w:val="24"/>
          <w:szCs w:val="24"/>
        </w:rPr>
        <w:t>) An individual or family with a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primary nighttime residence that is a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public or private place not designed for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or ordinarily used as a regular sleeping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accommodation for human beings,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including a car, park, abandoned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building, bus or train station, airport, or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camping ground;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(ii) An individual or family living in a supervised publicly or privately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operated shelter designated to provide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temporary living arrangements (including congregate shelters,</w:t>
      </w:r>
    </w:p>
    <w:p w:rsidR="00A16FDB" w:rsidRDefault="00A16FDB" w:rsidP="00A16FDB">
      <w:pPr>
        <w:rPr>
          <w:sz w:val="24"/>
          <w:szCs w:val="24"/>
        </w:rPr>
      </w:pPr>
      <w:proofErr w:type="gramStart"/>
      <w:r w:rsidRPr="00A16FDB">
        <w:rPr>
          <w:sz w:val="24"/>
          <w:szCs w:val="24"/>
        </w:rPr>
        <w:t>transitional</w:t>
      </w:r>
      <w:proofErr w:type="gramEnd"/>
      <w:r w:rsidRPr="00A16FDB">
        <w:rPr>
          <w:sz w:val="24"/>
          <w:szCs w:val="24"/>
        </w:rPr>
        <w:t xml:space="preserve"> housing, and hotels and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motels paid for by charitable organizations or by federal, state, or local government programs for low-income individuals); or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(iii) An individual who is exiting an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institution where he or she resided for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90 days or less and who resided in an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emergency shelter or place not meant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for human habitation immediately </w:t>
      </w:r>
    </w:p>
    <w:p w:rsidR="00A16FDB" w:rsidRPr="00A16FDB" w:rsidRDefault="00A16FDB" w:rsidP="00A16FDB">
      <w:pPr>
        <w:rPr>
          <w:sz w:val="24"/>
          <w:szCs w:val="24"/>
        </w:rPr>
      </w:pPr>
      <w:proofErr w:type="gramStart"/>
      <w:r w:rsidRPr="00A16FDB">
        <w:rPr>
          <w:sz w:val="24"/>
          <w:szCs w:val="24"/>
        </w:rPr>
        <w:t>before</w:t>
      </w:r>
      <w:proofErr w:type="gramEnd"/>
      <w:r w:rsidRPr="00A16FDB">
        <w:rPr>
          <w:sz w:val="24"/>
          <w:szCs w:val="24"/>
        </w:rPr>
        <w:t xml:space="preserve"> entering that institution; </w:t>
      </w: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Pr="00A16FDB" w:rsidRDefault="00A16FDB" w:rsidP="00A16FDB">
      <w:pPr>
        <w:rPr>
          <w:sz w:val="24"/>
          <w:szCs w:val="24"/>
          <w:u w:val="single"/>
        </w:rPr>
      </w:pPr>
      <w:r w:rsidRPr="00A16FDB">
        <w:rPr>
          <w:sz w:val="24"/>
          <w:szCs w:val="24"/>
          <w:u w:val="single"/>
        </w:rPr>
        <w:t>Category 2: Imminently Losing Their Housing</w:t>
      </w: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  <w:r w:rsidRPr="00A16FDB">
        <w:rPr>
          <w:sz w:val="24"/>
          <w:szCs w:val="24"/>
        </w:rPr>
        <w:t>(2) An individual or family who will imminently lose their primary nighttime</w:t>
      </w:r>
      <w:r>
        <w:rPr>
          <w:sz w:val="24"/>
          <w:szCs w:val="24"/>
        </w:rPr>
        <w:t xml:space="preserve"> </w:t>
      </w:r>
      <w:proofErr w:type="gramStart"/>
      <w:r w:rsidRPr="00A16FDB">
        <w:rPr>
          <w:sz w:val="24"/>
          <w:szCs w:val="24"/>
        </w:rPr>
        <w:t>residence,</w:t>
      </w:r>
      <w:proofErr w:type="gramEnd"/>
      <w:r w:rsidRPr="00A16FDB">
        <w:rPr>
          <w:sz w:val="24"/>
          <w:szCs w:val="24"/>
        </w:rPr>
        <w:t xml:space="preserve"> provided that:</w:t>
      </w:r>
      <w:r w:rsidRPr="00A16FDB">
        <w:rPr>
          <w:sz w:val="24"/>
          <w:szCs w:val="24"/>
        </w:rPr>
        <w:t xml:space="preserve">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</w:t>
      </w:r>
      <w:proofErr w:type="spellStart"/>
      <w:r w:rsidRPr="00A16FDB">
        <w:rPr>
          <w:sz w:val="24"/>
          <w:szCs w:val="24"/>
        </w:rPr>
        <w:t>i</w:t>
      </w:r>
      <w:proofErr w:type="spellEnd"/>
      <w:r w:rsidRPr="00A16FDB">
        <w:rPr>
          <w:sz w:val="24"/>
          <w:szCs w:val="24"/>
        </w:rPr>
        <w:t>) The primary nighttime residence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will be lost within 14 days of the date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of application for homeless assistance;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(ii) No subsequent residence has been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identified; and</w:t>
      </w:r>
      <w:r>
        <w:rPr>
          <w:sz w:val="24"/>
          <w:szCs w:val="24"/>
        </w:rPr>
        <w:t xml:space="preserve">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(iii) The individual or family lacks the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resources or support networks, e.g.,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family, friends, faith-based or other social networks, needed to obtain other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permanent housing; </w:t>
      </w: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Pr="00A16FDB" w:rsidRDefault="00A16FDB" w:rsidP="00A16FDB">
      <w:pPr>
        <w:rPr>
          <w:sz w:val="24"/>
          <w:szCs w:val="24"/>
          <w:u w:val="single"/>
        </w:rPr>
      </w:pPr>
      <w:r w:rsidRPr="00A16FDB">
        <w:rPr>
          <w:sz w:val="24"/>
          <w:szCs w:val="24"/>
          <w:u w:val="single"/>
        </w:rPr>
        <w:t>Category 3: Unstably Housed and At-risk of Losing Their Housing</w:t>
      </w:r>
    </w:p>
    <w:p w:rsidR="00A16FDB" w:rsidRDefault="00A16FDB" w:rsidP="00A16FDB">
      <w:pPr>
        <w:rPr>
          <w:sz w:val="24"/>
          <w:szCs w:val="24"/>
        </w:rPr>
      </w:pPr>
    </w:p>
    <w:p w:rsidR="00A16FDB" w:rsidRPr="00A16FDB" w:rsidRDefault="00A16FDB" w:rsidP="00A16FDB">
      <w:pPr>
        <w:rPr>
          <w:sz w:val="24"/>
          <w:szCs w:val="24"/>
        </w:rPr>
      </w:pPr>
      <w:r w:rsidRPr="00A16FDB">
        <w:rPr>
          <w:sz w:val="24"/>
          <w:szCs w:val="24"/>
        </w:rPr>
        <w:t>(3) Unaccompanied youth under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25 years of age, or families with children and youth, who do not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otherwise qualify as homeless under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this definition, but who: </w:t>
      </w:r>
    </w:p>
    <w:p w:rsidR="00A16FDB" w:rsidRPr="00A16FDB" w:rsidRDefault="00A16FDB" w:rsidP="00A16FDB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</w:t>
      </w:r>
      <w:proofErr w:type="spellStart"/>
      <w:r w:rsidRPr="00A16FDB">
        <w:rPr>
          <w:sz w:val="24"/>
          <w:szCs w:val="24"/>
        </w:rPr>
        <w:t>i</w:t>
      </w:r>
      <w:proofErr w:type="spellEnd"/>
      <w:r w:rsidRPr="00A16FDB">
        <w:rPr>
          <w:sz w:val="24"/>
          <w:szCs w:val="24"/>
        </w:rPr>
        <w:t>) Are defined as homeless under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section 387 of the Runaway and Homeless Youth Act (42 U.S.C. 5732a),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section 637 of the Head Start Act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(42 U.S.C. 9832), section 41403 of the </w:t>
      </w:r>
    </w:p>
    <w:p w:rsidR="00A16FDB" w:rsidRPr="00A16FDB" w:rsidRDefault="00A16FDB" w:rsidP="00A16FDB">
      <w:pPr>
        <w:rPr>
          <w:sz w:val="24"/>
          <w:szCs w:val="24"/>
        </w:rPr>
      </w:pPr>
      <w:r w:rsidRPr="00A16FDB">
        <w:rPr>
          <w:sz w:val="24"/>
          <w:szCs w:val="24"/>
        </w:rPr>
        <w:t>Violence Against Women Act of 1994 (42 U.S.C. 14043e–2), section 330(h) of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the Public Health Service Act (42 U.S.C. </w:t>
      </w:r>
      <w:proofErr w:type="gramStart"/>
      <w:r w:rsidRPr="00A16FDB">
        <w:rPr>
          <w:sz w:val="24"/>
          <w:szCs w:val="24"/>
        </w:rPr>
        <w:t>254b(</w:t>
      </w:r>
      <w:proofErr w:type="gramEnd"/>
      <w:r w:rsidRPr="00A16FDB">
        <w:rPr>
          <w:sz w:val="24"/>
          <w:szCs w:val="24"/>
        </w:rPr>
        <w:t xml:space="preserve">h)), section 3 of the Food and Nutrition Act of 2008 (7 U.S.C. 2012), </w:t>
      </w:r>
    </w:p>
    <w:p w:rsidR="00A16FDB" w:rsidRPr="00A16FDB" w:rsidRDefault="00A16FDB" w:rsidP="00A16FDB">
      <w:pPr>
        <w:rPr>
          <w:sz w:val="24"/>
          <w:szCs w:val="24"/>
        </w:rPr>
      </w:pPr>
      <w:proofErr w:type="gramStart"/>
      <w:r w:rsidRPr="00A16FDB">
        <w:rPr>
          <w:sz w:val="24"/>
          <w:szCs w:val="24"/>
        </w:rPr>
        <w:t>section</w:t>
      </w:r>
      <w:proofErr w:type="gramEnd"/>
      <w:r w:rsidRPr="00A16FDB">
        <w:rPr>
          <w:sz w:val="24"/>
          <w:szCs w:val="24"/>
        </w:rPr>
        <w:t xml:space="preserve"> 17(b) of the Child Nutrition Act of 1966 (42 U.S.C. 1786(b)), or section 725 of the</w:t>
      </w:r>
      <w:r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McKinney-Vento Homeless Assistance Act (42 U.S.C. 11434a); </w:t>
      </w:r>
    </w:p>
    <w:p w:rsidR="00A16FDB" w:rsidRPr="00A16FDB" w:rsidRDefault="00A16FDB" w:rsidP="009630AD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 xml:space="preserve">(ii) Have not had a lease, ownership interest, or occupancy agreement in permanent housing at any time during the 60 days immediately preceding the date of application for homeless assistance; </w:t>
      </w:r>
    </w:p>
    <w:p w:rsidR="00A16FDB" w:rsidRPr="00A16FDB" w:rsidRDefault="00A16FDB" w:rsidP="009630AD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 xml:space="preserve">(iii) Have experienced persistent instability as measured by two moves or more during the 60-day period immediately preceding the date of applying for homeless assistance; and </w:t>
      </w:r>
    </w:p>
    <w:p w:rsidR="00A16FDB" w:rsidRPr="00A16FDB" w:rsidRDefault="00A16FDB" w:rsidP="00A16FDB">
      <w:pPr>
        <w:rPr>
          <w:sz w:val="24"/>
          <w:szCs w:val="24"/>
        </w:rPr>
      </w:pPr>
      <w:proofErr w:type="gramStart"/>
      <w:r w:rsidRPr="00A16FDB">
        <w:rPr>
          <w:sz w:val="24"/>
          <w:szCs w:val="24"/>
        </w:rPr>
        <w:t>(iv) Can</w:t>
      </w:r>
      <w:proofErr w:type="gramEnd"/>
      <w:r w:rsidRPr="00A16FDB">
        <w:rPr>
          <w:sz w:val="24"/>
          <w:szCs w:val="24"/>
        </w:rPr>
        <w:t xml:space="preserve"> be expected to continue in such status for an extended period of time because of chronic disabilities, chronic physical health or mental health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conditions, substance addiction, </w:t>
      </w:r>
    </w:p>
    <w:p w:rsidR="00A16FDB" w:rsidRPr="00A16FDB" w:rsidRDefault="00A16FDB" w:rsidP="00A16FDB">
      <w:pPr>
        <w:rPr>
          <w:sz w:val="24"/>
          <w:szCs w:val="24"/>
        </w:rPr>
      </w:pPr>
      <w:r w:rsidRPr="00A16FDB">
        <w:rPr>
          <w:sz w:val="24"/>
          <w:szCs w:val="24"/>
        </w:rPr>
        <w:t>histories of domestic violence or childhood abuse (including neglect), the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presence of a child or youth with a disability, or two or more barriers to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employment, which include the lack of a high school degree or General Education Development (GED), illiteracy, low English proficiency, a </w:t>
      </w:r>
    </w:p>
    <w:p w:rsidR="00A16FDB" w:rsidRPr="00A16FDB" w:rsidRDefault="00A16FDB" w:rsidP="00A16FDB">
      <w:pPr>
        <w:rPr>
          <w:sz w:val="24"/>
          <w:szCs w:val="24"/>
        </w:rPr>
      </w:pPr>
      <w:proofErr w:type="gramStart"/>
      <w:r w:rsidRPr="00A16FDB">
        <w:rPr>
          <w:sz w:val="24"/>
          <w:szCs w:val="24"/>
        </w:rPr>
        <w:t>history</w:t>
      </w:r>
      <w:proofErr w:type="gramEnd"/>
      <w:r w:rsidRPr="00A16FDB">
        <w:rPr>
          <w:sz w:val="24"/>
          <w:szCs w:val="24"/>
        </w:rPr>
        <w:t xml:space="preserve"> of incarceration or detention for criminal activity, and a history of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unstable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employment; or </w:t>
      </w:r>
    </w:p>
    <w:p w:rsidR="009630AD" w:rsidRDefault="009630AD" w:rsidP="00A16FDB">
      <w:pPr>
        <w:rPr>
          <w:sz w:val="24"/>
          <w:szCs w:val="24"/>
        </w:rPr>
      </w:pPr>
    </w:p>
    <w:p w:rsidR="009630AD" w:rsidRDefault="009630AD" w:rsidP="00A16FDB">
      <w:pPr>
        <w:rPr>
          <w:sz w:val="24"/>
          <w:szCs w:val="24"/>
        </w:rPr>
      </w:pPr>
    </w:p>
    <w:p w:rsidR="009630AD" w:rsidRDefault="009630AD" w:rsidP="00A16FDB">
      <w:pPr>
        <w:rPr>
          <w:sz w:val="24"/>
          <w:szCs w:val="24"/>
        </w:rPr>
      </w:pPr>
    </w:p>
    <w:p w:rsidR="009630AD" w:rsidRDefault="009630AD" w:rsidP="00A16FDB">
      <w:pPr>
        <w:rPr>
          <w:sz w:val="24"/>
          <w:szCs w:val="24"/>
        </w:rPr>
      </w:pPr>
    </w:p>
    <w:p w:rsidR="009630AD" w:rsidRDefault="009630AD" w:rsidP="00A16FDB">
      <w:pPr>
        <w:rPr>
          <w:sz w:val="24"/>
          <w:szCs w:val="24"/>
          <w:u w:val="single"/>
        </w:rPr>
      </w:pPr>
      <w:r w:rsidRPr="009630AD">
        <w:rPr>
          <w:sz w:val="24"/>
          <w:szCs w:val="24"/>
          <w:u w:val="single"/>
        </w:rPr>
        <w:t>Category 4: Fleeing Domestic Violence</w:t>
      </w:r>
    </w:p>
    <w:p w:rsidR="009630AD" w:rsidRPr="009630AD" w:rsidRDefault="009630AD" w:rsidP="00A16FDB">
      <w:pPr>
        <w:rPr>
          <w:sz w:val="24"/>
          <w:szCs w:val="24"/>
          <w:u w:val="single"/>
        </w:rPr>
      </w:pPr>
      <w:bookmarkStart w:id="0" w:name="_GoBack"/>
      <w:bookmarkEnd w:id="0"/>
    </w:p>
    <w:p w:rsidR="00A16FDB" w:rsidRPr="00A16FDB" w:rsidRDefault="00A16FDB" w:rsidP="00A16FDB">
      <w:pPr>
        <w:rPr>
          <w:sz w:val="24"/>
          <w:szCs w:val="24"/>
        </w:rPr>
      </w:pPr>
      <w:r w:rsidRPr="00A16FDB">
        <w:rPr>
          <w:sz w:val="24"/>
          <w:szCs w:val="24"/>
        </w:rPr>
        <w:t>(4) Any individual or family who: (</w:t>
      </w:r>
      <w:proofErr w:type="spellStart"/>
      <w:r w:rsidRPr="00A16FDB">
        <w:rPr>
          <w:sz w:val="24"/>
          <w:szCs w:val="24"/>
        </w:rPr>
        <w:t>i</w:t>
      </w:r>
      <w:proofErr w:type="spellEnd"/>
      <w:r w:rsidRPr="00A16FDB">
        <w:rPr>
          <w:sz w:val="24"/>
          <w:szCs w:val="24"/>
        </w:rPr>
        <w:t>) Is fleeing, or is attempting to flee,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domestic violence, dating violence, sexual assault, stalking, or other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 xml:space="preserve">dangerous or life-threatening conditions that relate to violence against the individual or a family member, including a child, that has either taken </w:t>
      </w:r>
    </w:p>
    <w:p w:rsidR="009630AD" w:rsidRDefault="00A16FDB" w:rsidP="00A16FDB">
      <w:pPr>
        <w:rPr>
          <w:sz w:val="24"/>
          <w:szCs w:val="24"/>
        </w:rPr>
      </w:pPr>
      <w:proofErr w:type="gramStart"/>
      <w:r w:rsidRPr="00A16FDB">
        <w:rPr>
          <w:sz w:val="24"/>
          <w:szCs w:val="24"/>
        </w:rPr>
        <w:t>place</w:t>
      </w:r>
      <w:proofErr w:type="gramEnd"/>
      <w:r w:rsidRPr="00A16FDB">
        <w:rPr>
          <w:sz w:val="24"/>
          <w:szCs w:val="24"/>
        </w:rPr>
        <w:t xml:space="preserve"> within the individual’s or family’s primary nighttime residence or has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made the individual or family afraid to return to their primary nighttime residence;</w:t>
      </w:r>
      <w:r w:rsidRPr="00A16FDB">
        <w:rPr>
          <w:sz w:val="24"/>
          <w:szCs w:val="24"/>
        </w:rPr>
        <w:t xml:space="preserve"> </w:t>
      </w:r>
    </w:p>
    <w:p w:rsidR="00A16FDB" w:rsidRPr="00A16FDB" w:rsidRDefault="00A16FDB" w:rsidP="009630AD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 xml:space="preserve">(ii) Has no other residence; and </w:t>
      </w:r>
    </w:p>
    <w:p w:rsidR="00BA62C6" w:rsidRDefault="00A16FDB" w:rsidP="009630AD">
      <w:pPr>
        <w:ind w:firstLine="720"/>
        <w:rPr>
          <w:sz w:val="24"/>
          <w:szCs w:val="24"/>
        </w:rPr>
      </w:pPr>
      <w:r w:rsidRPr="00A16FDB">
        <w:rPr>
          <w:sz w:val="24"/>
          <w:szCs w:val="24"/>
        </w:rPr>
        <w:t>(iii) Lacks the resources or support</w:t>
      </w:r>
      <w:r w:rsidR="009630AD">
        <w:rPr>
          <w:sz w:val="24"/>
          <w:szCs w:val="24"/>
        </w:rPr>
        <w:t xml:space="preserve"> </w:t>
      </w:r>
      <w:r w:rsidRPr="00A16FDB">
        <w:rPr>
          <w:sz w:val="24"/>
          <w:szCs w:val="24"/>
        </w:rPr>
        <w:t>networks, e.g., family, friends, and faith-based or other social networks, to obtain other permanent housing.</w:t>
      </w:r>
    </w:p>
    <w:p w:rsidR="00A16FDB" w:rsidRDefault="00A16FDB" w:rsidP="00A16FDB">
      <w:pPr>
        <w:rPr>
          <w:sz w:val="24"/>
          <w:szCs w:val="24"/>
        </w:rPr>
      </w:pPr>
    </w:p>
    <w:p w:rsidR="00A16FDB" w:rsidRDefault="00A16FDB" w:rsidP="00A16FDB">
      <w:pPr>
        <w:rPr>
          <w:sz w:val="24"/>
          <w:szCs w:val="24"/>
        </w:rPr>
      </w:pPr>
    </w:p>
    <w:p w:rsidR="00A16FDB" w:rsidRPr="00A16FDB" w:rsidRDefault="00A16FDB" w:rsidP="00A16FDB">
      <w:pPr>
        <w:rPr>
          <w:i/>
          <w:color w:val="4F81BD" w:themeColor="accent1"/>
          <w:sz w:val="24"/>
          <w:szCs w:val="24"/>
        </w:rPr>
      </w:pPr>
      <w:r w:rsidRPr="00A16FDB">
        <w:rPr>
          <w:i/>
          <w:color w:val="4F81BD" w:themeColor="accent1"/>
          <w:sz w:val="24"/>
          <w:szCs w:val="24"/>
        </w:rPr>
        <w:t>Federal Register/Vol. 76, No. 233/Monday, December 5, 2011/Rules and Regulations pg. 76017</w:t>
      </w:r>
    </w:p>
    <w:p w:rsidR="00A16FDB" w:rsidRPr="00A16FDB" w:rsidRDefault="00A16FDB" w:rsidP="00A16FDB">
      <w:pPr>
        <w:rPr>
          <w:sz w:val="24"/>
          <w:szCs w:val="24"/>
        </w:rPr>
      </w:pPr>
    </w:p>
    <w:sectPr w:rsidR="00A16FDB" w:rsidRPr="00A16F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DB" w:rsidRDefault="00A16FDB" w:rsidP="00A16FDB">
      <w:r>
        <w:separator/>
      </w:r>
    </w:p>
  </w:endnote>
  <w:endnote w:type="continuationSeparator" w:id="0">
    <w:p w:rsidR="00A16FDB" w:rsidRDefault="00A16FDB" w:rsidP="00A1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DB" w:rsidRDefault="00A16FDB" w:rsidP="00A16FDB">
      <w:r>
        <w:separator/>
      </w:r>
    </w:p>
  </w:footnote>
  <w:footnote w:type="continuationSeparator" w:id="0">
    <w:p w:rsidR="00A16FDB" w:rsidRDefault="00A16FDB" w:rsidP="00A1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DB" w:rsidRDefault="00A16FD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165587B" wp14:editId="28002447">
              <wp:simplePos x="0" y="0"/>
              <wp:positionH relativeFrom="page">
                <wp:posOffset>360045</wp:posOffset>
              </wp:positionH>
              <wp:positionV relativeFrom="topMargin">
                <wp:posOffset>342900</wp:posOffset>
              </wp:positionV>
              <wp:extent cx="7363460" cy="530225"/>
              <wp:effectExtent l="13335" t="9525" r="6985" b="1270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CF23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FDB" w:rsidRDefault="00A16FDB" w:rsidP="00A16FDB">
                            <w:pPr>
                              <w:pStyle w:val="Head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Title"/>
                                <w:id w:val="-1382172120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HOPWA KYHMIS TRAINING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-4655104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3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A16FDB" w:rsidRDefault="00A16FDB" w:rsidP="00A16FDB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2013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28.35pt;margin-top:27pt;width:579.8pt;height:41.75pt;z-index:251659264;mso-width-percent:950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SdcIA&#10;AADaAAAADwAAAGRycy9kb3ducmV2LnhtbESPQWvCQBSE74L/YXmF3nRTi7VENyEEWoq3qOD1kX1N&#10;gtm3ye6q8d93C4Ueh5n5htnlk+nFjZzvLCt4WSYgiGurO24UnI4fi3cQPiBr7C2Tggd5yLP5bIep&#10;tneu6HYIjYgQ9ikqaEMYUil93ZJBv7QDcfS+rTMYonSN1A7vEW56uUqSN2mw47jQ4kBlS/XlcDUK&#10;nDx/nkzlxvWjaIYy2Y+b/hWVen6aii2IQFP4D/+1v7SCFfxeiT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dJ1wgAAANoAAAAPAAAAAAAAAAAAAAAAAJgCAABkcnMvZG93&#10;bnJldi54bWxQSwUGAAAAAAQABAD1AAAAhwMAAAAA&#10;" fillcolor="#cf231f" stroked="f" strokecolor="white" strokeweight="1.5pt">
                <v:textbox>
                  <w:txbxContent>
                    <w:p w:rsidR="00A16FDB" w:rsidRDefault="00A16FDB" w:rsidP="00A16FDB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Title"/>
                          <w:id w:val="-1382172120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HOPWA KYHMIS TRAINING</w:t>
                          </w:r>
                        </w:sdtContent>
                      </w:sdt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pYMUA&#10;AADaAAAADwAAAGRycy9kb3ducmV2LnhtbESPQWvCQBSE70L/w/IKvemmLViJ2UhbWyh4sNpcvD2z&#10;zySYfRt2VxP/vSsUPA4z8w2TLQbTijM531hW8DxJQBCXVjdcKSj+vsczED4ga2wtk4ILeVjkD6MM&#10;U2173tB5GyoRIexTVFCH0KVS+rImg35iO+LoHawzGKJ0ldQO+wg3rXxJkqk02HBcqLGjz5rK4/Zk&#10;FHwsu33r+s3v6rTrk2K23i+Lrzelnh6H9zmIQEO4h//bP1rBK9yuxBs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mlgxQAAANoAAAAPAAAAAAAAAAAAAAAAAJgCAABkcnMv&#10;ZG93bnJldi54bWxQSwUGAAAAAAQABAD1AAAAigMAAAAA&#10;" fillcolor="#1f497d [3215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-465510403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3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A16FDB" w:rsidRDefault="00A16FDB" w:rsidP="00A16FDB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DB"/>
    <w:rsid w:val="009630AD"/>
    <w:rsid w:val="00A16FDB"/>
    <w:rsid w:val="00BA62C6"/>
    <w:rsid w:val="00B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FDB"/>
  </w:style>
  <w:style w:type="paragraph" w:styleId="Footer">
    <w:name w:val="footer"/>
    <w:basedOn w:val="Normal"/>
    <w:link w:val="FooterChar"/>
    <w:uiPriority w:val="99"/>
    <w:unhideWhenUsed/>
    <w:rsid w:val="00A16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FDB"/>
  </w:style>
  <w:style w:type="paragraph" w:styleId="BalloonText">
    <w:name w:val="Balloon Text"/>
    <w:basedOn w:val="Normal"/>
    <w:link w:val="BalloonTextChar"/>
    <w:uiPriority w:val="99"/>
    <w:semiHidden/>
    <w:unhideWhenUsed/>
    <w:rsid w:val="00A1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FDB"/>
  </w:style>
  <w:style w:type="paragraph" w:styleId="Footer">
    <w:name w:val="footer"/>
    <w:basedOn w:val="Normal"/>
    <w:link w:val="FooterChar"/>
    <w:uiPriority w:val="99"/>
    <w:unhideWhenUsed/>
    <w:rsid w:val="00A16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FDB"/>
  </w:style>
  <w:style w:type="paragraph" w:styleId="BalloonText">
    <w:name w:val="Balloon Text"/>
    <w:basedOn w:val="Normal"/>
    <w:link w:val="BalloonTextChar"/>
    <w:uiPriority w:val="99"/>
    <w:semiHidden/>
    <w:unhideWhenUsed/>
    <w:rsid w:val="00A1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HOPWA KYHMIS TRAINING</dc:title>
  <dc:creator>Polly Lloyd</dc:creator>
  <cp:lastModifiedBy>Polly Lloyd</cp:lastModifiedBy>
  <cp:revision>1</cp:revision>
  <cp:lastPrinted>2013-09-27T12:39:00Z</cp:lastPrinted>
  <dcterms:created xsi:type="dcterms:W3CDTF">2013-09-27T12:23:00Z</dcterms:created>
  <dcterms:modified xsi:type="dcterms:W3CDTF">2013-09-27T12:51:00Z</dcterms:modified>
</cp:coreProperties>
</file>